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B0D37B" w14:textId="580D1E76" w:rsidR="005A3AF6" w:rsidRDefault="00AD0777">
      <w:pPr>
        <w:pStyle w:val="Tijeloteksta"/>
        <w:tabs>
          <w:tab w:val="left" w:pos="7899"/>
        </w:tabs>
        <w:spacing w:before="76"/>
        <w:ind w:left="141" w:right="137" w:firstLine="659"/>
        <w:jc w:val="both"/>
      </w:pPr>
      <w:r>
        <w:t>Na temelju članka</w:t>
      </w:r>
      <w:r>
        <w:rPr>
          <w:spacing w:val="40"/>
        </w:rPr>
        <w:t xml:space="preserve"> </w:t>
      </w:r>
      <w:r w:rsidR="00253798">
        <w:t>95</w:t>
      </w:r>
      <w:r>
        <w:t>. Zakona o komunalnom gospodarstvu („Narodne novine“ broj: 68/18, 110/18</w:t>
      </w:r>
      <w:r w:rsidR="00253798">
        <w:t xml:space="preserve">, </w:t>
      </w:r>
      <w:r>
        <w:t>32/20</w:t>
      </w:r>
      <w:r w:rsidR="00253798">
        <w:t xml:space="preserve"> i 145/145/2</w:t>
      </w:r>
      <w:r w:rsidR="003C6E61">
        <w:t>4</w:t>
      </w:r>
      <w:r>
        <w:t>)</w:t>
      </w:r>
      <w:r w:rsidR="00B325FB">
        <w:t xml:space="preserve"> </w:t>
      </w:r>
      <w:r>
        <w:t>i članka 51. Statuta Grada</w:t>
      </w:r>
      <w:r>
        <w:rPr>
          <w:spacing w:val="40"/>
        </w:rPr>
        <w:t xml:space="preserve"> </w:t>
      </w:r>
      <w:r>
        <w:t>Drniš</w:t>
      </w:r>
      <w:r w:rsidR="00204F44">
        <w:t>a</w:t>
      </w:r>
      <w:r>
        <w:t xml:space="preserve"> („Služ</w:t>
      </w:r>
      <w:r w:rsidR="00204F44">
        <w:t>beni glasnik Grada Drniša“ broj</w:t>
      </w:r>
      <w:r>
        <w:t xml:space="preserve"> 2/21 i 2/22), Gradsko vijeće Grada Drniša na</w:t>
      </w:r>
      <w:r w:rsidR="00B325FB">
        <w:t xml:space="preserve">   </w:t>
      </w:r>
      <w:r>
        <w:t>sjedni</w:t>
      </w:r>
      <w:r w:rsidR="00B325FB">
        <w:t xml:space="preserve">ci održanoj            dana             </w:t>
      </w:r>
      <w:r>
        <w:t>202</w:t>
      </w:r>
      <w:r w:rsidR="00B325FB">
        <w:t xml:space="preserve">5 </w:t>
      </w:r>
      <w:r>
        <w:rPr>
          <w:spacing w:val="-15"/>
        </w:rPr>
        <w:t xml:space="preserve"> </w:t>
      </w:r>
      <w:r>
        <w:t>godine, d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n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s</w:t>
      </w:r>
      <w:r>
        <w:rPr>
          <w:spacing w:val="40"/>
        </w:rPr>
        <w:t xml:space="preserve"> </w:t>
      </w:r>
      <w:r>
        <w:t>i:</w:t>
      </w:r>
    </w:p>
    <w:p w14:paraId="1FADF79E" w14:textId="77777777" w:rsidR="005A3AF6" w:rsidRDefault="005A3AF6">
      <w:pPr>
        <w:pStyle w:val="Tijeloteksta"/>
      </w:pPr>
    </w:p>
    <w:p w14:paraId="40989FE0" w14:textId="77777777" w:rsidR="001E4263" w:rsidRDefault="001E4263">
      <w:pPr>
        <w:pStyle w:val="Tijeloteksta"/>
      </w:pPr>
    </w:p>
    <w:p w14:paraId="70012B62" w14:textId="77777777" w:rsidR="005A3AF6" w:rsidRDefault="005A3AF6">
      <w:pPr>
        <w:pStyle w:val="Tijeloteksta"/>
        <w:spacing w:before="1"/>
      </w:pPr>
    </w:p>
    <w:p w14:paraId="77EA3746" w14:textId="74CE1A8E" w:rsidR="005A3AF6" w:rsidRDefault="00AD0777">
      <w:pPr>
        <w:pStyle w:val="Naslov1"/>
        <w:tabs>
          <w:tab w:val="left" w:pos="3120"/>
        </w:tabs>
        <w:ind w:left="2726"/>
      </w:pPr>
      <w:r>
        <w:rPr>
          <w:spacing w:val="-5"/>
        </w:rPr>
        <w:t>I</w:t>
      </w:r>
      <w:r w:rsidR="00B325FB">
        <w:rPr>
          <w:spacing w:val="-5"/>
        </w:rPr>
        <w:t>I</w:t>
      </w:r>
      <w:r>
        <w:rPr>
          <w:spacing w:val="-5"/>
        </w:rPr>
        <w:t>.</w:t>
      </w:r>
      <w:r>
        <w:tab/>
        <w:t>IZMJENU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DOPUNU</w:t>
      </w:r>
      <w:r>
        <w:rPr>
          <w:spacing w:val="58"/>
        </w:rPr>
        <w:t xml:space="preserve"> </w:t>
      </w:r>
      <w:r>
        <w:rPr>
          <w:spacing w:val="-2"/>
        </w:rPr>
        <w:t>ODLUKE</w:t>
      </w:r>
    </w:p>
    <w:p w14:paraId="6F576F30" w14:textId="28BCB1C2" w:rsidR="005A3AF6" w:rsidRDefault="00AD0777">
      <w:pPr>
        <w:ind w:left="3220" w:right="3220"/>
        <w:jc w:val="center"/>
        <w:rPr>
          <w:b/>
          <w:sz w:val="24"/>
        </w:rPr>
      </w:pPr>
      <w:r>
        <w:rPr>
          <w:b/>
          <w:sz w:val="24"/>
        </w:rPr>
        <w:t>o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komunaln</w:t>
      </w:r>
      <w:r w:rsidR="00253798">
        <w:rPr>
          <w:b/>
          <w:sz w:val="24"/>
        </w:rPr>
        <w:t>oj naknadi</w:t>
      </w:r>
    </w:p>
    <w:p w14:paraId="085180E6" w14:textId="77777777" w:rsidR="005A3AF6" w:rsidRDefault="005A3AF6">
      <w:pPr>
        <w:pStyle w:val="Tijeloteksta"/>
        <w:rPr>
          <w:b/>
        </w:rPr>
      </w:pPr>
    </w:p>
    <w:p w14:paraId="39CA9FCB" w14:textId="77777777" w:rsidR="005A3AF6" w:rsidRDefault="005A3AF6">
      <w:pPr>
        <w:pStyle w:val="Tijeloteksta"/>
        <w:rPr>
          <w:b/>
        </w:rPr>
      </w:pPr>
    </w:p>
    <w:p w14:paraId="2D60F6FA" w14:textId="77777777" w:rsidR="005A3AF6" w:rsidRDefault="00AD0777">
      <w:pPr>
        <w:ind w:left="4183"/>
        <w:rPr>
          <w:b/>
          <w:sz w:val="24"/>
        </w:rPr>
      </w:pPr>
      <w:r>
        <w:rPr>
          <w:b/>
          <w:sz w:val="24"/>
        </w:rPr>
        <w:t>Članak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1.</w:t>
      </w:r>
    </w:p>
    <w:p w14:paraId="7BEFB28D" w14:textId="3B842C19" w:rsidR="005A3AF6" w:rsidRDefault="00AD0777">
      <w:pPr>
        <w:pStyle w:val="Tijeloteksta"/>
        <w:spacing w:before="1"/>
        <w:ind w:left="141" w:right="139" w:firstLine="839"/>
      </w:pPr>
      <w:r>
        <w:t>U Odluci o komunaln</w:t>
      </w:r>
      <w:r w:rsidR="00253798">
        <w:t xml:space="preserve">oj naknadi </w:t>
      </w:r>
      <w:r>
        <w:rPr>
          <w:spacing w:val="80"/>
        </w:rPr>
        <w:t xml:space="preserve"> </w:t>
      </w:r>
      <w:r>
        <w:t>na</w:t>
      </w:r>
      <w:r>
        <w:rPr>
          <w:spacing w:val="80"/>
        </w:rPr>
        <w:t xml:space="preserve"> </w:t>
      </w:r>
      <w:r>
        <w:t>području Grada Drniša ( „Službeni glasnik Grada Drniša“ broj: 1/19</w:t>
      </w:r>
      <w:r w:rsidR="00B325FB">
        <w:t xml:space="preserve">  i  </w:t>
      </w:r>
      <w:r w:rsidR="00253798">
        <w:t>4/23</w:t>
      </w:r>
      <w:r>
        <w:t xml:space="preserve"> ) </w:t>
      </w:r>
      <w:r w:rsidR="00AD048E">
        <w:t xml:space="preserve"> </w:t>
      </w:r>
      <w:r w:rsidR="00253798">
        <w:t xml:space="preserve">u </w:t>
      </w:r>
      <w:r>
        <w:t>člank</w:t>
      </w:r>
      <w:r w:rsidR="00253798">
        <w:t>u</w:t>
      </w:r>
      <w:r>
        <w:t xml:space="preserve"> </w:t>
      </w:r>
      <w:r w:rsidR="00253798">
        <w:t>9.  stavak prvi  točka 2.</w:t>
      </w:r>
      <w:r>
        <w:t>mijenja se i glasi:</w:t>
      </w:r>
    </w:p>
    <w:p w14:paraId="35A1D458" w14:textId="77777777" w:rsidR="005A3AF6" w:rsidRDefault="005A3AF6">
      <w:pPr>
        <w:pStyle w:val="Tijeloteksta"/>
      </w:pPr>
    </w:p>
    <w:p w14:paraId="154DEDC8" w14:textId="77777777" w:rsidR="003B116F" w:rsidRDefault="00AD0777">
      <w:pPr>
        <w:pStyle w:val="Tijeloteksta"/>
        <w:ind w:left="141"/>
        <w:rPr>
          <w:spacing w:val="-1"/>
        </w:rPr>
      </w:pPr>
      <w:r>
        <w:t>„</w:t>
      </w:r>
      <w:r>
        <w:rPr>
          <w:spacing w:val="-1"/>
        </w:rPr>
        <w:t xml:space="preserve"> </w:t>
      </w:r>
      <w:r w:rsidR="00253798">
        <w:rPr>
          <w:spacing w:val="-1"/>
        </w:rPr>
        <w:t>2. Poslovni prostori i objekti namijenjeni</w:t>
      </w:r>
      <w:r w:rsidR="003B116F">
        <w:rPr>
          <w:spacing w:val="-1"/>
        </w:rPr>
        <w:t>:</w:t>
      </w:r>
    </w:p>
    <w:p w14:paraId="1C5BF708" w14:textId="3DFD0B38" w:rsidR="005A3AF6" w:rsidRDefault="003B116F" w:rsidP="003B116F">
      <w:pPr>
        <w:pStyle w:val="Tijeloteksta"/>
        <w:numPr>
          <w:ilvl w:val="0"/>
          <w:numId w:val="8"/>
        </w:numPr>
      </w:pPr>
      <w:r>
        <w:t xml:space="preserve">turističko-ugostiteljskoj djelatnosti </w:t>
      </w:r>
      <w:r w:rsidR="003C6E61">
        <w:t xml:space="preserve">                                     8</w:t>
      </w:r>
      <w:r>
        <w:t xml:space="preserve">                   </w:t>
      </w:r>
      <w:r w:rsidR="00F227A4">
        <w:t xml:space="preserve">        </w:t>
      </w:r>
      <w:r>
        <w:t xml:space="preserve"> </w:t>
      </w:r>
    </w:p>
    <w:p w14:paraId="550FA166" w14:textId="26F22FCD" w:rsidR="003B116F" w:rsidRDefault="003B116F" w:rsidP="003B116F">
      <w:pPr>
        <w:pStyle w:val="Tijeloteksta"/>
        <w:numPr>
          <w:ilvl w:val="0"/>
          <w:numId w:val="8"/>
        </w:numPr>
      </w:pPr>
      <w:r>
        <w:t xml:space="preserve">trgovačkoj djelatnosti                                        </w:t>
      </w:r>
      <w:r w:rsidR="00F227A4">
        <w:t xml:space="preserve">        </w:t>
      </w:r>
      <w:r>
        <w:t xml:space="preserve">  </w:t>
      </w:r>
      <w:r w:rsidR="003C6E61">
        <w:t xml:space="preserve">      </w:t>
      </w:r>
      <w:r w:rsidR="00123745">
        <w:t xml:space="preserve"> </w:t>
      </w:r>
      <w:r w:rsidR="003C6E61">
        <w:t xml:space="preserve">  </w:t>
      </w:r>
      <w:r w:rsidR="00123745">
        <w:t>8</w:t>
      </w:r>
    </w:p>
    <w:p w14:paraId="7AF95E04" w14:textId="14B762BE" w:rsidR="00F227A4" w:rsidRDefault="00F227A4" w:rsidP="003B116F">
      <w:pPr>
        <w:pStyle w:val="Tijeloteksta"/>
        <w:numPr>
          <w:ilvl w:val="0"/>
          <w:numId w:val="8"/>
        </w:numPr>
      </w:pPr>
      <w:r>
        <w:t>proizvodnoj i proizvodno- obrtničkoj djelatnosti</w:t>
      </w:r>
      <w:r w:rsidR="003C6E61">
        <w:t xml:space="preserve">                4</w:t>
      </w:r>
      <w:r>
        <w:t xml:space="preserve">  </w:t>
      </w:r>
    </w:p>
    <w:p w14:paraId="24462FDA" w14:textId="07FD561B" w:rsidR="00F227A4" w:rsidRDefault="00F227A4" w:rsidP="00F227A4">
      <w:pPr>
        <w:pStyle w:val="Tijeloteksta"/>
        <w:ind w:left="1041"/>
      </w:pPr>
      <w:r>
        <w:t>d)  društvene djelatnosti   i obrana</w:t>
      </w:r>
      <w:r w:rsidR="003C6E61">
        <w:t xml:space="preserve">                                             3</w:t>
      </w:r>
      <w:r>
        <w:t xml:space="preserve">  </w:t>
      </w:r>
    </w:p>
    <w:p w14:paraId="4C451A4C" w14:textId="6EB23A1D" w:rsidR="00F227A4" w:rsidRDefault="00F227A4" w:rsidP="00F227A4">
      <w:pPr>
        <w:pStyle w:val="Tijeloteksta"/>
        <w:ind w:left="1041"/>
      </w:pPr>
      <w:r>
        <w:t>e)  ostale nespomenute djelatnosti</w:t>
      </w:r>
      <w:r w:rsidR="003C6E61">
        <w:t xml:space="preserve">                                             8</w:t>
      </w:r>
    </w:p>
    <w:p w14:paraId="176FC604" w14:textId="3CB42885" w:rsidR="00254C0D" w:rsidRDefault="00F227A4" w:rsidP="00F227A4">
      <w:pPr>
        <w:pStyle w:val="Tijeloteksta"/>
        <w:ind w:left="1041"/>
      </w:pPr>
      <w:r>
        <w:t>f)</w:t>
      </w:r>
      <w:r w:rsidR="00254C0D">
        <w:t xml:space="preserve">  </w:t>
      </w:r>
      <w:r w:rsidR="0080076C">
        <w:t xml:space="preserve"> </w:t>
      </w:r>
      <w:r w:rsidR="00254C0D">
        <w:t xml:space="preserve">nepoznata djelatnost ( objekt nije u funkciji)       </w:t>
      </w:r>
      <w:r w:rsidR="00784921">
        <w:t xml:space="preserve"> </w:t>
      </w:r>
      <w:r w:rsidR="00254C0D">
        <w:t xml:space="preserve">      </w:t>
      </w:r>
      <w:r w:rsidR="003C6E61">
        <w:t xml:space="preserve">      </w:t>
      </w:r>
      <w:r w:rsidR="00123745">
        <w:t xml:space="preserve"> </w:t>
      </w:r>
      <w:r w:rsidR="003C6E61">
        <w:t xml:space="preserve">  0,50</w:t>
      </w:r>
    </w:p>
    <w:p w14:paraId="09C54A2E" w14:textId="66834D88" w:rsidR="003C6E61" w:rsidRDefault="003C6E61" w:rsidP="00F227A4">
      <w:pPr>
        <w:pStyle w:val="Tijeloteksta"/>
        <w:ind w:left="1041"/>
      </w:pPr>
      <w:r>
        <w:t xml:space="preserve">g) </w:t>
      </w:r>
      <w:r w:rsidR="0080076C">
        <w:t xml:space="preserve"> </w:t>
      </w:r>
      <w:r>
        <w:t xml:space="preserve">proizvodnji el. energije i smještaju baterija                        </w:t>
      </w:r>
      <w:r w:rsidR="00123745">
        <w:t xml:space="preserve"> </w:t>
      </w:r>
      <w:r>
        <w:t xml:space="preserve"> 6</w:t>
      </w:r>
    </w:p>
    <w:p w14:paraId="7C468AE8" w14:textId="564244BA" w:rsidR="003C6E61" w:rsidRDefault="003C6E61" w:rsidP="00F227A4">
      <w:pPr>
        <w:pStyle w:val="Tijeloteksta"/>
        <w:ind w:left="1041"/>
      </w:pPr>
      <w:r>
        <w:t xml:space="preserve">h) </w:t>
      </w:r>
      <w:r w:rsidR="0080076C">
        <w:t xml:space="preserve"> </w:t>
      </w:r>
      <w:r>
        <w:t xml:space="preserve">tlocrtna površina  fotonaponskih panela                            </w:t>
      </w:r>
      <w:r w:rsidR="00123745">
        <w:t xml:space="preserve"> </w:t>
      </w:r>
      <w:r>
        <w:t xml:space="preserve">  2,50</w:t>
      </w:r>
    </w:p>
    <w:p w14:paraId="47976ABF" w14:textId="17CB6571" w:rsidR="003C6E61" w:rsidRDefault="003C6E61" w:rsidP="00F227A4">
      <w:pPr>
        <w:pStyle w:val="Tijeloteksta"/>
        <w:ind w:left="1041"/>
      </w:pPr>
      <w:r>
        <w:t xml:space="preserve">i)  </w:t>
      </w:r>
      <w:r w:rsidR="0080076C">
        <w:t xml:space="preserve"> </w:t>
      </w:r>
      <w:r>
        <w:t xml:space="preserve">neizgrađeno građevinsko zemljište                                     </w:t>
      </w:r>
      <w:r w:rsidR="0080076C">
        <w:t xml:space="preserve"> </w:t>
      </w:r>
      <w:r>
        <w:t xml:space="preserve"> 0,40</w:t>
      </w:r>
    </w:p>
    <w:p w14:paraId="75FF2711" w14:textId="77777777" w:rsidR="003C6E61" w:rsidRDefault="003C6E61" w:rsidP="00F227A4">
      <w:pPr>
        <w:pStyle w:val="Tijeloteksta"/>
        <w:ind w:left="1041"/>
      </w:pPr>
    </w:p>
    <w:p w14:paraId="1231609D" w14:textId="77777777" w:rsidR="00254C0D" w:rsidRDefault="00254C0D" w:rsidP="00F227A4">
      <w:pPr>
        <w:pStyle w:val="Tijeloteksta"/>
        <w:ind w:left="1041"/>
      </w:pPr>
    </w:p>
    <w:p w14:paraId="5225FB05" w14:textId="4E6B2685" w:rsidR="00D64934" w:rsidRDefault="00D64934" w:rsidP="00D64934">
      <w:pPr>
        <w:pStyle w:val="Tijeloteksta"/>
        <w:spacing w:before="56"/>
        <w:jc w:val="center"/>
        <w:rPr>
          <w:b/>
          <w:bCs/>
        </w:rPr>
      </w:pPr>
      <w:r w:rsidRPr="00D64934">
        <w:rPr>
          <w:b/>
          <w:bCs/>
        </w:rPr>
        <w:t>Članak 2.</w:t>
      </w:r>
    </w:p>
    <w:p w14:paraId="5B8C862F" w14:textId="05EDF9CC" w:rsidR="00D64934" w:rsidRDefault="00D64934" w:rsidP="00D64934">
      <w:pPr>
        <w:pStyle w:val="Tijeloteksta"/>
        <w:spacing w:before="56"/>
        <w:jc w:val="both"/>
      </w:pPr>
      <w:r>
        <w:t>Članak 10. mijenja se i glasi:</w:t>
      </w:r>
    </w:p>
    <w:p w14:paraId="07ACBF4E" w14:textId="7F976B4D" w:rsidR="00D64934" w:rsidRDefault="00D64934" w:rsidP="00D64934">
      <w:pPr>
        <w:pStyle w:val="Tijeloteksta"/>
        <w:spacing w:before="56"/>
        <w:jc w:val="both"/>
      </w:pPr>
      <w:r>
        <w:t xml:space="preserve">            „Komunalna naknada za stambeni prostor obračunava se obveznicima iz I, II, i III zone  tromjesečno a fakturira dva puta godišnje , s rokom dospijeća zadnji dan u trećem  mjesecu tromjesečnog zaduženja.</w:t>
      </w:r>
    </w:p>
    <w:p w14:paraId="0E3C787C" w14:textId="77777777" w:rsidR="00D64934" w:rsidRDefault="00D64934" w:rsidP="00D64934">
      <w:pPr>
        <w:pStyle w:val="Tijeloteksta"/>
        <w:spacing w:before="56"/>
        <w:jc w:val="both"/>
      </w:pPr>
      <w:r>
        <w:t xml:space="preserve">             Komunalna naknada za poslovni prostor fakturira se i naplaćuje tromjesečno, s rokom dospijeća zadnji dan u trećem mjesecu tromjesečnog zaduženja.</w:t>
      </w:r>
    </w:p>
    <w:p w14:paraId="1687562B" w14:textId="2D12971D" w:rsidR="00AD048E" w:rsidRPr="00AD048E" w:rsidRDefault="00D64934" w:rsidP="00AD048E">
      <w:pPr>
        <w:pStyle w:val="Tijeloteksta"/>
        <w:spacing w:before="56"/>
        <w:jc w:val="both"/>
      </w:pPr>
      <w:r>
        <w:t xml:space="preserve">             Na dospjeli iznos neplaćene komunalne naknade </w:t>
      </w:r>
      <w:r w:rsidR="009869AA">
        <w:t xml:space="preserve"> obveznik komunalne naknade plaća zateznu kamatu po stopi određenoj važećim zakonskim pro</w:t>
      </w:r>
      <w:r w:rsidR="00AD048E">
        <w:t>pisima.“</w:t>
      </w:r>
    </w:p>
    <w:p w14:paraId="135C4EF8" w14:textId="77777777" w:rsidR="00A071BB" w:rsidRDefault="00A071BB" w:rsidP="00D64934">
      <w:pPr>
        <w:pStyle w:val="Tijeloteksta"/>
        <w:spacing w:before="56"/>
        <w:jc w:val="both"/>
      </w:pPr>
    </w:p>
    <w:p w14:paraId="4F437D33" w14:textId="7AD706CC" w:rsidR="00D64934" w:rsidRDefault="00A071BB" w:rsidP="00A071BB">
      <w:pPr>
        <w:pStyle w:val="Tijeloteksta"/>
        <w:spacing w:before="56"/>
        <w:jc w:val="center"/>
        <w:rPr>
          <w:b/>
          <w:bCs/>
        </w:rPr>
      </w:pPr>
      <w:r w:rsidRPr="00A071BB">
        <w:rPr>
          <w:b/>
          <w:bCs/>
        </w:rPr>
        <w:t>Člana</w:t>
      </w:r>
      <w:r>
        <w:rPr>
          <w:b/>
          <w:bCs/>
        </w:rPr>
        <w:t xml:space="preserve">k </w:t>
      </w:r>
      <w:r w:rsidR="00AD048E">
        <w:rPr>
          <w:b/>
          <w:bCs/>
        </w:rPr>
        <w:t>3</w:t>
      </w:r>
      <w:r w:rsidRPr="00A071BB">
        <w:rPr>
          <w:b/>
          <w:bCs/>
        </w:rPr>
        <w:t>.</w:t>
      </w:r>
    </w:p>
    <w:p w14:paraId="616C6966" w14:textId="348529CC" w:rsidR="00A071BB" w:rsidRPr="00A071BB" w:rsidRDefault="00A071BB" w:rsidP="00A071BB">
      <w:pPr>
        <w:pStyle w:val="Tijeloteksta"/>
        <w:spacing w:before="56"/>
        <w:jc w:val="both"/>
      </w:pPr>
      <w:r w:rsidRPr="00A071BB">
        <w:t>U članku 14. dodaje se drugi stavak koji glasi:</w:t>
      </w:r>
    </w:p>
    <w:p w14:paraId="6177090A" w14:textId="3D1C6759" w:rsidR="00A00D6F" w:rsidRDefault="00A071BB" w:rsidP="00A071BB">
      <w:pPr>
        <w:pStyle w:val="Tijeloteksta"/>
        <w:spacing w:before="56"/>
        <w:jc w:val="both"/>
      </w:pPr>
      <w:r w:rsidRPr="00A071BB">
        <w:t>„</w:t>
      </w:r>
      <w:r>
        <w:t xml:space="preserve"> Visina ukupnih iznosa-oslobađanja  od strane Grada Drniša  koja se mogu d</w:t>
      </w:r>
      <w:r w:rsidR="00A00D6F">
        <w:t xml:space="preserve">odijeliti  poduzetnicima za </w:t>
      </w:r>
      <w:r w:rsidR="00B226C5">
        <w:t>sagrađene nove građevine</w:t>
      </w:r>
      <w:r w:rsidR="003D0CDF">
        <w:t xml:space="preserve"> u kojima se obavlja djelatnost</w:t>
      </w:r>
      <w:r w:rsidR="00B226C5">
        <w:t>,</w:t>
      </w:r>
      <w:r w:rsidR="00A00D6F">
        <w:t xml:space="preserve"> ne smije premašiti  </w:t>
      </w:r>
      <w:r w:rsidR="00B226C5">
        <w:t xml:space="preserve">ukupni </w:t>
      </w:r>
      <w:r w:rsidR="00A00D6F">
        <w:t xml:space="preserve">iznos  za trogodišnje razdoblje koji je definiran u važećem Programu de </w:t>
      </w:r>
      <w:proofErr w:type="spellStart"/>
      <w:r w:rsidR="00A00D6F">
        <w:t>minimis</w:t>
      </w:r>
      <w:proofErr w:type="spellEnd"/>
      <w:r w:rsidR="00A00D6F">
        <w:t xml:space="preserve"> potpora za nove investicije u poduzetničkim zonama Grada Drniša.</w:t>
      </w:r>
      <w:r w:rsidR="00AD048E">
        <w:t>“</w:t>
      </w:r>
    </w:p>
    <w:p w14:paraId="27958E36" w14:textId="77777777" w:rsidR="00AD048E" w:rsidRDefault="00AD048E" w:rsidP="00A071BB">
      <w:pPr>
        <w:pStyle w:val="Tijeloteksta"/>
        <w:spacing w:before="56"/>
        <w:jc w:val="both"/>
      </w:pPr>
    </w:p>
    <w:p w14:paraId="737CC3D5" w14:textId="40B40EA1" w:rsidR="00AD048E" w:rsidRDefault="00AD048E" w:rsidP="00AD048E">
      <w:pPr>
        <w:pStyle w:val="Tijeloteksta"/>
        <w:spacing w:before="56"/>
        <w:jc w:val="center"/>
        <w:rPr>
          <w:b/>
          <w:bCs/>
        </w:rPr>
      </w:pPr>
      <w:r w:rsidRPr="00AD048E">
        <w:rPr>
          <w:b/>
          <w:bCs/>
        </w:rPr>
        <w:t>Članak 4.</w:t>
      </w:r>
    </w:p>
    <w:p w14:paraId="20598F36" w14:textId="19F55918" w:rsidR="00AD048E" w:rsidRDefault="00AD048E" w:rsidP="00AD048E">
      <w:pPr>
        <w:pStyle w:val="Tijeloteksta"/>
        <w:spacing w:before="56"/>
        <w:jc w:val="both"/>
      </w:pPr>
      <w:r>
        <w:t>Iza članka 14. dodaje se članak 14.a koji glasi:</w:t>
      </w:r>
    </w:p>
    <w:p w14:paraId="34657E16" w14:textId="05D1821E" w:rsidR="00D64934" w:rsidRPr="00D64934" w:rsidRDefault="00AD048E" w:rsidP="0080076C">
      <w:pPr>
        <w:pStyle w:val="Tijeloteksta"/>
        <w:spacing w:before="56"/>
      </w:pPr>
      <w:r>
        <w:t>„ U slučajevima oslobađanja  plaćanja komunalne naknade  iz članka 12. i članka 14. važeće Odluke o komunalnoj naknadi</w:t>
      </w:r>
      <w:r w:rsidR="001E4263">
        <w:t xml:space="preserve">, namjenska </w:t>
      </w:r>
      <w:r>
        <w:t xml:space="preserve">sredstva potrebna za održavanje komunalne infrastrukture </w:t>
      </w:r>
      <w:r w:rsidR="001E4263">
        <w:t xml:space="preserve"> osigurat će se u proračunu Grada Drniša.</w:t>
      </w:r>
      <w:r w:rsidR="00B226C5">
        <w:t>“</w:t>
      </w:r>
      <w:r w:rsidR="001E4263">
        <w:t xml:space="preserve"> </w:t>
      </w:r>
      <w:r>
        <w:t xml:space="preserve"> </w:t>
      </w: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3306"/>
        <w:gridCol w:w="2250"/>
        <w:gridCol w:w="1860"/>
        <w:gridCol w:w="1842"/>
      </w:tblGrid>
      <w:tr w:rsidR="005A3AF6" w14:paraId="33F24274" w14:textId="77777777" w:rsidTr="000A1B9C">
        <w:trPr>
          <w:trHeight w:val="408"/>
        </w:trPr>
        <w:tc>
          <w:tcPr>
            <w:tcW w:w="3306" w:type="dxa"/>
          </w:tcPr>
          <w:p w14:paraId="752078A3" w14:textId="0F1B1C9F" w:rsidR="005A3AF6" w:rsidRDefault="005A3AF6" w:rsidP="0080076C">
            <w:pPr>
              <w:pStyle w:val="Tijeloteksta"/>
            </w:pPr>
          </w:p>
        </w:tc>
        <w:tc>
          <w:tcPr>
            <w:tcW w:w="2250" w:type="dxa"/>
          </w:tcPr>
          <w:p w14:paraId="79C0FB00" w14:textId="56195CB3" w:rsidR="005A3AF6" w:rsidRDefault="005A3AF6" w:rsidP="00AD048E">
            <w:pPr>
              <w:pStyle w:val="TableParagraph"/>
              <w:spacing w:line="266" w:lineRule="exact"/>
              <w:ind w:right="177"/>
              <w:jc w:val="center"/>
              <w:rPr>
                <w:sz w:val="24"/>
              </w:rPr>
            </w:pPr>
          </w:p>
        </w:tc>
        <w:tc>
          <w:tcPr>
            <w:tcW w:w="1860" w:type="dxa"/>
          </w:tcPr>
          <w:p w14:paraId="7B6A1D84" w14:textId="22DEBD85" w:rsidR="005A3AF6" w:rsidRDefault="005A3AF6" w:rsidP="003B116F">
            <w:pPr>
              <w:pStyle w:val="TableParagraph"/>
              <w:spacing w:line="266" w:lineRule="exact"/>
              <w:ind w:right="58"/>
              <w:rPr>
                <w:sz w:val="24"/>
              </w:rPr>
            </w:pPr>
          </w:p>
        </w:tc>
        <w:tc>
          <w:tcPr>
            <w:tcW w:w="1842" w:type="dxa"/>
          </w:tcPr>
          <w:p w14:paraId="30FB4E29" w14:textId="7E34039E" w:rsidR="005A3AF6" w:rsidRDefault="005A3AF6" w:rsidP="003B116F">
            <w:pPr>
              <w:pStyle w:val="TableParagraph"/>
              <w:spacing w:line="266" w:lineRule="exact"/>
              <w:rPr>
                <w:sz w:val="24"/>
              </w:rPr>
            </w:pPr>
          </w:p>
        </w:tc>
      </w:tr>
      <w:tr w:rsidR="005A3AF6" w14:paraId="4065AAE8" w14:textId="77777777" w:rsidTr="000A1B9C">
        <w:trPr>
          <w:trHeight w:val="960"/>
        </w:trPr>
        <w:tc>
          <w:tcPr>
            <w:tcW w:w="3306" w:type="dxa"/>
          </w:tcPr>
          <w:p w14:paraId="6FEC2186" w14:textId="0ABD6C9F" w:rsidR="005A3AF6" w:rsidRDefault="005A3AF6" w:rsidP="003B116F">
            <w:pPr>
              <w:pStyle w:val="TableParagraph"/>
              <w:spacing w:before="113" w:line="270" w:lineRule="atLeast"/>
              <w:ind w:right="1044"/>
              <w:rPr>
                <w:sz w:val="24"/>
              </w:rPr>
            </w:pPr>
          </w:p>
        </w:tc>
        <w:tc>
          <w:tcPr>
            <w:tcW w:w="2250" w:type="dxa"/>
          </w:tcPr>
          <w:p w14:paraId="4D78BA04" w14:textId="46DB4FEF" w:rsidR="005A3AF6" w:rsidRDefault="005A3AF6" w:rsidP="0080076C">
            <w:pPr>
              <w:jc w:val="both"/>
            </w:pPr>
          </w:p>
        </w:tc>
        <w:tc>
          <w:tcPr>
            <w:tcW w:w="1860" w:type="dxa"/>
          </w:tcPr>
          <w:p w14:paraId="5AA72AF5" w14:textId="457C266F" w:rsidR="005A3AF6" w:rsidRDefault="005A3AF6" w:rsidP="00B9436E">
            <w:pPr>
              <w:pStyle w:val="TableParagraph"/>
              <w:spacing w:before="1" w:line="256" w:lineRule="exact"/>
              <w:rPr>
                <w:sz w:val="24"/>
              </w:rPr>
            </w:pPr>
          </w:p>
        </w:tc>
        <w:tc>
          <w:tcPr>
            <w:tcW w:w="1842" w:type="dxa"/>
          </w:tcPr>
          <w:p w14:paraId="5335575F" w14:textId="67B02CF6" w:rsidR="005A3AF6" w:rsidRDefault="005A3AF6" w:rsidP="003B116F">
            <w:pPr>
              <w:pStyle w:val="TableParagraph"/>
              <w:spacing w:before="1" w:line="256" w:lineRule="exact"/>
              <w:rPr>
                <w:sz w:val="24"/>
              </w:rPr>
            </w:pPr>
          </w:p>
        </w:tc>
      </w:tr>
    </w:tbl>
    <w:p w14:paraId="021AABF2" w14:textId="2C20EA84" w:rsidR="005A3AF6" w:rsidRDefault="000A5493">
      <w:pPr>
        <w:pStyle w:val="Tijeloteksta"/>
        <w:spacing w:before="2"/>
      </w:pPr>
      <w:r>
        <w:t xml:space="preserve">   </w:t>
      </w:r>
    </w:p>
    <w:p w14:paraId="544310EB" w14:textId="7939289B" w:rsidR="005A3AF6" w:rsidRDefault="000A1B9C">
      <w:pPr>
        <w:ind w:left="4217"/>
        <w:rPr>
          <w:b/>
          <w:sz w:val="24"/>
        </w:rPr>
      </w:pPr>
      <w:r>
        <w:rPr>
          <w:b/>
          <w:sz w:val="24"/>
        </w:rPr>
        <w:t xml:space="preserve">Članak </w:t>
      </w:r>
      <w:r w:rsidR="001E4263">
        <w:rPr>
          <w:b/>
          <w:sz w:val="24"/>
        </w:rPr>
        <w:t>5</w:t>
      </w:r>
    </w:p>
    <w:p w14:paraId="4386994E" w14:textId="3972D18C" w:rsidR="000A1B9C" w:rsidRPr="00AD048E" w:rsidRDefault="000A1B9C" w:rsidP="00AD048E">
      <w:pPr>
        <w:rPr>
          <w:b/>
          <w:sz w:val="24"/>
        </w:rPr>
      </w:pPr>
      <w:r>
        <w:rPr>
          <w:b/>
          <w:sz w:val="24"/>
        </w:rPr>
        <w:t xml:space="preserve"> </w:t>
      </w:r>
      <w:r w:rsidR="00613551" w:rsidRPr="00AD048E">
        <w:rPr>
          <w:b/>
          <w:sz w:val="24"/>
        </w:rPr>
        <w:tab/>
      </w:r>
    </w:p>
    <w:p w14:paraId="2BECF572" w14:textId="5A6A9430" w:rsidR="005A3AF6" w:rsidRDefault="00AD0777" w:rsidP="00926D2F">
      <w:pPr>
        <w:pStyle w:val="Tijeloteksta"/>
        <w:ind w:left="141" w:right="138" w:firstLine="899"/>
        <w:jc w:val="both"/>
      </w:pPr>
      <w:r>
        <w:t>Ova</w:t>
      </w:r>
      <w:r>
        <w:rPr>
          <w:spacing w:val="40"/>
        </w:rPr>
        <w:t xml:space="preserve"> </w:t>
      </w:r>
      <w:r>
        <w:t>I</w:t>
      </w:r>
      <w:r w:rsidR="001E4263">
        <w:t>I</w:t>
      </w:r>
      <w:r>
        <w:rPr>
          <w:spacing w:val="-5"/>
        </w:rPr>
        <w:t xml:space="preserve"> </w:t>
      </w:r>
      <w:r>
        <w:t>izmjena</w:t>
      </w:r>
      <w:r>
        <w:rPr>
          <w:spacing w:val="-3"/>
        </w:rPr>
        <w:t xml:space="preserve"> </w:t>
      </w:r>
      <w:r>
        <w:t>i dopuna</w:t>
      </w:r>
      <w:r>
        <w:rPr>
          <w:spacing w:val="-3"/>
        </w:rPr>
        <w:t xml:space="preserve"> </w:t>
      </w:r>
      <w:r>
        <w:t>Odluke</w:t>
      </w:r>
      <w:r>
        <w:rPr>
          <w:spacing w:val="40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komunalno</w:t>
      </w:r>
      <w:r w:rsidR="001E4263">
        <w:t xml:space="preserve">j </w:t>
      </w:r>
      <w:r>
        <w:rPr>
          <w:spacing w:val="-2"/>
        </w:rPr>
        <w:t xml:space="preserve"> </w:t>
      </w:r>
      <w:r w:rsidR="001E4263">
        <w:t xml:space="preserve">naknadi </w:t>
      </w:r>
      <w:r>
        <w:rPr>
          <w:spacing w:val="-2"/>
        </w:rPr>
        <w:t xml:space="preserve"> </w:t>
      </w:r>
      <w:r>
        <w:t>stupa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snagu</w:t>
      </w:r>
      <w:r>
        <w:rPr>
          <w:spacing w:val="40"/>
        </w:rPr>
        <w:t xml:space="preserve"> </w:t>
      </w:r>
      <w:r>
        <w:t>osmog dana</w:t>
      </w:r>
      <w:r>
        <w:rPr>
          <w:spacing w:val="40"/>
        </w:rPr>
        <w:t xml:space="preserve"> </w:t>
      </w:r>
      <w:r>
        <w:t>od dana</w:t>
      </w:r>
      <w:r>
        <w:rPr>
          <w:spacing w:val="80"/>
        </w:rPr>
        <w:t xml:space="preserve"> </w:t>
      </w:r>
      <w:r>
        <w:t>objave u „Službenom glasniku Grada Drniša“</w:t>
      </w:r>
      <w:r w:rsidR="001E4263">
        <w:t xml:space="preserve"> a primjenjivat će se od 01.01.2026. godine.</w:t>
      </w:r>
    </w:p>
    <w:p w14:paraId="3C90DA60" w14:textId="77777777" w:rsidR="005A3AF6" w:rsidRDefault="005A3AF6" w:rsidP="00926D2F">
      <w:pPr>
        <w:pStyle w:val="Tijeloteksta"/>
        <w:jc w:val="both"/>
      </w:pPr>
    </w:p>
    <w:p w14:paraId="1C16650D" w14:textId="77777777" w:rsidR="005A3AF6" w:rsidRDefault="005A3AF6" w:rsidP="00926D2F">
      <w:pPr>
        <w:pStyle w:val="Tijeloteksta"/>
        <w:jc w:val="both"/>
      </w:pPr>
    </w:p>
    <w:p w14:paraId="222F64D6" w14:textId="24875EB8" w:rsidR="005A3AF6" w:rsidRDefault="00AD0777" w:rsidP="00926D2F">
      <w:pPr>
        <w:pStyle w:val="Naslov1"/>
        <w:ind w:left="141" w:right="6644"/>
        <w:jc w:val="both"/>
      </w:pPr>
      <w:r>
        <w:t>KLASA: 363-0</w:t>
      </w:r>
      <w:r w:rsidR="001E4263">
        <w:t>3</w:t>
      </w:r>
      <w:r>
        <w:t>/19-</w:t>
      </w:r>
      <w:r w:rsidR="001E4263">
        <w:t>3</w:t>
      </w:r>
      <w:r>
        <w:t>0/</w:t>
      </w:r>
      <w:r w:rsidR="001E4263">
        <w:t>1</w:t>
      </w:r>
      <w:r>
        <w:t xml:space="preserve"> </w:t>
      </w:r>
      <w:r w:rsidR="003D0CDF">
        <w:rPr>
          <w:spacing w:val="-2"/>
        </w:rPr>
        <w:t>UR</w:t>
      </w:r>
      <w:r>
        <w:rPr>
          <w:spacing w:val="-2"/>
        </w:rPr>
        <w:t>BROJ:2182-6-2</w:t>
      </w:r>
      <w:r w:rsidR="00E972B9">
        <w:rPr>
          <w:spacing w:val="-2"/>
        </w:rPr>
        <w:t>5</w:t>
      </w:r>
      <w:r>
        <w:rPr>
          <w:spacing w:val="-2"/>
        </w:rPr>
        <w:t>-</w:t>
      </w:r>
      <w:r>
        <w:rPr>
          <w:spacing w:val="-7"/>
        </w:rPr>
        <w:t>0</w:t>
      </w:r>
      <w:r w:rsidR="001E4263">
        <w:rPr>
          <w:spacing w:val="-7"/>
        </w:rPr>
        <w:t>3</w:t>
      </w:r>
    </w:p>
    <w:p w14:paraId="0F3C39AA" w14:textId="37B5AA75" w:rsidR="005A3AF6" w:rsidRDefault="00AD0777" w:rsidP="00926D2F">
      <w:pPr>
        <w:tabs>
          <w:tab w:val="left" w:pos="2214"/>
        </w:tabs>
        <w:ind w:left="141"/>
        <w:jc w:val="both"/>
        <w:rPr>
          <w:b/>
          <w:sz w:val="24"/>
        </w:rPr>
      </w:pPr>
      <w:r>
        <w:rPr>
          <w:b/>
          <w:spacing w:val="-2"/>
          <w:sz w:val="24"/>
        </w:rPr>
        <w:t>Drniš,</w:t>
      </w:r>
      <w:r>
        <w:rPr>
          <w:b/>
          <w:sz w:val="24"/>
        </w:rPr>
        <w:tab/>
        <w:t>202</w:t>
      </w:r>
      <w:r w:rsidR="00E972B9">
        <w:rPr>
          <w:b/>
          <w:sz w:val="24"/>
        </w:rPr>
        <w:t>5</w:t>
      </w:r>
      <w:r>
        <w:rPr>
          <w:b/>
          <w:spacing w:val="-2"/>
          <w:sz w:val="24"/>
        </w:rPr>
        <w:t xml:space="preserve"> </w:t>
      </w:r>
      <w:r w:rsidR="003D0CDF">
        <w:rPr>
          <w:b/>
          <w:spacing w:val="-4"/>
          <w:sz w:val="24"/>
        </w:rPr>
        <w:t>godine</w:t>
      </w:r>
    </w:p>
    <w:p w14:paraId="147CF305" w14:textId="77777777" w:rsidR="005A3AF6" w:rsidRDefault="005A3AF6" w:rsidP="00926D2F">
      <w:pPr>
        <w:pStyle w:val="Tijeloteksta"/>
        <w:jc w:val="both"/>
        <w:rPr>
          <w:b/>
        </w:rPr>
      </w:pPr>
    </w:p>
    <w:p w14:paraId="1883CC81" w14:textId="77777777" w:rsidR="005A3AF6" w:rsidRDefault="00AD0777" w:rsidP="00E972B9">
      <w:pPr>
        <w:pStyle w:val="Naslov1"/>
        <w:ind w:right="3219"/>
        <w:jc w:val="center"/>
      </w:pPr>
      <w:r>
        <w:t>GRADSKO</w:t>
      </w:r>
      <w:r>
        <w:rPr>
          <w:spacing w:val="-15"/>
        </w:rPr>
        <w:t xml:space="preserve"> </w:t>
      </w:r>
      <w:r>
        <w:t>VIJEĆE GRADA DRNIŠA</w:t>
      </w:r>
    </w:p>
    <w:p w14:paraId="1349217F" w14:textId="77777777" w:rsidR="005A3AF6" w:rsidRDefault="005A3AF6" w:rsidP="00926D2F">
      <w:pPr>
        <w:pStyle w:val="Tijeloteksta"/>
        <w:jc w:val="both"/>
        <w:rPr>
          <w:b/>
        </w:rPr>
      </w:pPr>
    </w:p>
    <w:p w14:paraId="7796B430" w14:textId="77777777" w:rsidR="005A3AF6" w:rsidRDefault="005A3AF6" w:rsidP="00926D2F">
      <w:pPr>
        <w:pStyle w:val="Tijeloteksta"/>
        <w:spacing w:before="1"/>
        <w:jc w:val="both"/>
        <w:rPr>
          <w:b/>
        </w:rPr>
      </w:pPr>
    </w:p>
    <w:p w14:paraId="6B8B9856" w14:textId="4F59155B" w:rsidR="005A3AF6" w:rsidRDefault="003D0CDF" w:rsidP="003D0CDF">
      <w:pPr>
        <w:ind w:right="1177"/>
        <w:jc w:val="center"/>
        <w:rPr>
          <w:b/>
          <w:sz w:val="24"/>
        </w:rPr>
      </w:pPr>
      <w:r>
        <w:rPr>
          <w:b/>
          <w:spacing w:val="-2"/>
          <w:sz w:val="24"/>
        </w:rPr>
        <w:t xml:space="preserve">                                                                                                    </w:t>
      </w:r>
      <w:r w:rsidR="00AD0777">
        <w:rPr>
          <w:b/>
          <w:spacing w:val="-2"/>
          <w:sz w:val="24"/>
        </w:rPr>
        <w:t>PREDSJEDNIK:</w:t>
      </w:r>
    </w:p>
    <w:p w14:paraId="3F98FC23" w14:textId="77777777" w:rsidR="003C41B9" w:rsidRDefault="003C41B9" w:rsidP="003C41B9">
      <w:pPr>
        <w:pStyle w:val="Tijeloteksta"/>
        <w:ind w:right="-846"/>
        <w:rPr>
          <w:b/>
        </w:rPr>
      </w:pPr>
      <w:r>
        <w:rPr>
          <w:b/>
        </w:rPr>
        <w:t xml:space="preserve">                                                                                                         </w:t>
      </w:r>
    </w:p>
    <w:p w14:paraId="67FFD8DD" w14:textId="27952F82" w:rsidR="005A3AF6" w:rsidRPr="00A30549" w:rsidRDefault="003C41B9" w:rsidP="00A30549">
      <w:pPr>
        <w:pStyle w:val="Tijeloteksta"/>
        <w:jc w:val="both"/>
        <w:rPr>
          <w:b/>
          <w:bCs/>
        </w:rPr>
        <w:sectPr w:rsidR="005A3AF6" w:rsidRPr="00A30549">
          <w:type w:val="continuous"/>
          <w:pgSz w:w="11910" w:h="16840"/>
          <w:pgMar w:top="1320" w:right="1275" w:bottom="280" w:left="1275" w:header="720" w:footer="720" w:gutter="0"/>
          <w:cols w:space="720"/>
        </w:sectPr>
      </w:pPr>
      <w:r w:rsidRPr="00A30549">
        <w:rPr>
          <w:b/>
          <w:bCs/>
        </w:rPr>
        <w:t xml:space="preserve">                                                                                         </w:t>
      </w:r>
      <w:r w:rsidR="00A30549">
        <w:rPr>
          <w:b/>
          <w:bCs/>
        </w:rPr>
        <w:t xml:space="preserve">       </w:t>
      </w:r>
      <w:r w:rsidRPr="00A30549">
        <w:rPr>
          <w:b/>
          <w:bCs/>
        </w:rPr>
        <w:t xml:space="preserve">      </w:t>
      </w:r>
      <w:r w:rsidR="00A30549" w:rsidRPr="00A30549">
        <w:rPr>
          <w:b/>
          <w:bCs/>
        </w:rPr>
        <w:t xml:space="preserve"> Majdi </w:t>
      </w:r>
      <w:proofErr w:type="spellStart"/>
      <w:r w:rsidR="00A30549" w:rsidRPr="00A30549">
        <w:rPr>
          <w:b/>
          <w:bCs/>
        </w:rPr>
        <w:t>Pamuković</w:t>
      </w:r>
      <w:proofErr w:type="spellEnd"/>
      <w:r w:rsidR="00A30549" w:rsidRPr="00A30549">
        <w:rPr>
          <w:b/>
          <w:bCs/>
        </w:rPr>
        <w:t>, prof</w:t>
      </w:r>
      <w:r w:rsidR="003D0CDF">
        <w:rPr>
          <w:b/>
          <w:bCs/>
        </w:rPr>
        <w:t>.</w:t>
      </w:r>
      <w:bookmarkStart w:id="0" w:name="_GoBack"/>
      <w:bookmarkEnd w:id="0"/>
      <w:r w:rsidR="00E972B9" w:rsidRPr="00A30549">
        <w:rPr>
          <w:b/>
          <w:bCs/>
        </w:rPr>
        <w:t xml:space="preserve">                                                                             </w:t>
      </w:r>
      <w:r w:rsidRPr="00A30549">
        <w:rPr>
          <w:b/>
          <w:bCs/>
        </w:rPr>
        <w:t xml:space="preserve">                                           </w:t>
      </w:r>
    </w:p>
    <w:p w14:paraId="27406428" w14:textId="1FA754A3" w:rsidR="005A3AF6" w:rsidRDefault="00A30549">
      <w:pPr>
        <w:pStyle w:val="Naslov1"/>
        <w:ind w:right="3219"/>
        <w:jc w:val="center"/>
      </w:pPr>
      <w:r>
        <w:rPr>
          <w:spacing w:val="-2"/>
        </w:rPr>
        <w:lastRenderedPageBreak/>
        <w:t>OBRAZLOŽENJE</w:t>
      </w:r>
    </w:p>
    <w:p w14:paraId="6C4F09DD" w14:textId="77777777" w:rsidR="005A3AF6" w:rsidRDefault="005A3AF6">
      <w:pPr>
        <w:pStyle w:val="Tijeloteksta"/>
        <w:rPr>
          <w:b/>
        </w:rPr>
      </w:pPr>
    </w:p>
    <w:p w14:paraId="2F3A55BD" w14:textId="77777777" w:rsidR="005A3AF6" w:rsidRDefault="005A3AF6">
      <w:pPr>
        <w:pStyle w:val="Tijeloteksta"/>
        <w:rPr>
          <w:b/>
        </w:rPr>
      </w:pPr>
    </w:p>
    <w:p w14:paraId="6BF80BD9" w14:textId="36D457C0" w:rsidR="005A3AF6" w:rsidRDefault="00AD0777">
      <w:pPr>
        <w:tabs>
          <w:tab w:val="left" w:pos="4992"/>
        </w:tabs>
        <w:ind w:left="141" w:right="138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RAZLOZI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ZBOG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KOJIH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DONOSI</w:t>
      </w:r>
      <w:r>
        <w:rPr>
          <w:b/>
          <w:sz w:val="24"/>
        </w:rPr>
        <w:tab/>
      </w:r>
      <w:r w:rsidR="00A30549">
        <w:rPr>
          <w:b/>
          <w:sz w:val="24"/>
        </w:rPr>
        <w:t>I</w:t>
      </w:r>
      <w:r>
        <w:rPr>
          <w:b/>
          <w:sz w:val="24"/>
        </w:rPr>
        <w:t>I.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DOPUNA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IZMJENA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ODLUKE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O KOMUNAL</w:t>
      </w:r>
      <w:r w:rsidR="00A30549">
        <w:rPr>
          <w:b/>
          <w:sz w:val="24"/>
        </w:rPr>
        <w:t xml:space="preserve">NOJ NAKNADI </w:t>
      </w:r>
      <w:r>
        <w:rPr>
          <w:b/>
          <w:sz w:val="24"/>
        </w:rPr>
        <w:t xml:space="preserve"> NA PODRUČJU GRADA DRNIŠA</w:t>
      </w:r>
    </w:p>
    <w:p w14:paraId="25EB7C05" w14:textId="77777777" w:rsidR="005A3AF6" w:rsidRDefault="005A3AF6">
      <w:pPr>
        <w:pStyle w:val="Tijeloteksta"/>
        <w:rPr>
          <w:b/>
        </w:rPr>
      </w:pPr>
    </w:p>
    <w:p w14:paraId="56018CC7" w14:textId="77777777" w:rsidR="005A3AF6" w:rsidRDefault="005A3AF6">
      <w:pPr>
        <w:pStyle w:val="Tijeloteksta"/>
        <w:spacing w:before="2"/>
        <w:rPr>
          <w:b/>
        </w:rPr>
      </w:pPr>
    </w:p>
    <w:p w14:paraId="14829AA4" w14:textId="4986FEE5" w:rsidR="005A3AF6" w:rsidRDefault="00A30549">
      <w:pPr>
        <w:pStyle w:val="Tijeloteksta"/>
        <w:spacing w:line="235" w:lineRule="auto"/>
        <w:ind w:left="141" w:right="158" w:firstLine="420"/>
        <w:jc w:val="both"/>
      </w:pPr>
      <w:r>
        <w:t>Temeljem članka  95. Zakona o komunalnom gospodarstvu (ZKG) ("Narodne novine", broj 68/18, 110/18</w:t>
      </w:r>
      <w:r w:rsidR="00510A1B">
        <w:t xml:space="preserve">, </w:t>
      </w:r>
      <w:r>
        <w:t>32/20</w:t>
      </w:r>
      <w:r w:rsidR="00510A1B">
        <w:t xml:space="preserve"> i 145/24</w:t>
      </w:r>
      <w:r>
        <w:t>) Grad Drniš don</w:t>
      </w:r>
      <w:r w:rsidR="00510A1B">
        <w:t xml:space="preserve">osi </w:t>
      </w:r>
      <w:r>
        <w:t xml:space="preserve"> Odluku o komunalnoj naknadi na području Grada Drniša  u</w:t>
      </w:r>
      <w:r>
        <w:rPr>
          <w:spacing w:val="40"/>
        </w:rPr>
        <w:t xml:space="preserve"> </w:t>
      </w:r>
      <w:r>
        <w:t xml:space="preserve">kojoj </w:t>
      </w:r>
      <w:r w:rsidR="00510A1B">
        <w:t xml:space="preserve">se </w:t>
      </w:r>
      <w:r>
        <w:t xml:space="preserve"> između ostalog definira</w:t>
      </w:r>
      <w:r w:rsidR="00510A1B">
        <w:t xml:space="preserve">ju i koeficijenti namjene (Kn) za nekretnine za koje se plaća komunalna naknada </w:t>
      </w:r>
      <w:r>
        <w:t>po pojedinim zonama u Gradu Drnišu.</w:t>
      </w:r>
    </w:p>
    <w:p w14:paraId="71735214" w14:textId="57B69260" w:rsidR="005A3AF6" w:rsidRDefault="00510A1B" w:rsidP="00510A1B">
      <w:pPr>
        <w:pStyle w:val="Tijeloteksta"/>
        <w:spacing w:line="235" w:lineRule="auto"/>
        <w:ind w:right="157"/>
        <w:jc w:val="both"/>
      </w:pPr>
      <w:r>
        <w:t xml:space="preserve">         Kako se predmetni koeficijenti namjene (Kn) nisu usklađivali od  uvođenja naplate komunalne naknade tj.  od 1998 godine, profiliranjem pojedini</w:t>
      </w:r>
      <w:r w:rsidR="00C10F7B">
        <w:t>h</w:t>
      </w:r>
      <w:r>
        <w:t xml:space="preserve"> djelatnost</w:t>
      </w:r>
      <w:r w:rsidR="00C10F7B">
        <w:t xml:space="preserve">i na  području grada Drniša  </w:t>
      </w:r>
      <w:r>
        <w:t xml:space="preserve"> stekli su se uvjeti za usklađivanjem</w:t>
      </w:r>
      <w:r w:rsidR="00C10F7B">
        <w:t xml:space="preserve"> koeficijenata namjene (Kn) a sve u okviru dozvoljenih  parametara</w:t>
      </w:r>
      <w:r w:rsidR="00123745">
        <w:t xml:space="preserve"> definiranih u članku 97. </w:t>
      </w:r>
      <w:r w:rsidR="00C10F7B">
        <w:t xml:space="preserve"> Zakona o komunalnom gospodarstvu.</w:t>
      </w:r>
    </w:p>
    <w:p w14:paraId="7020B48F" w14:textId="16690E19" w:rsidR="005A3AF6" w:rsidRDefault="00AD0777">
      <w:pPr>
        <w:pStyle w:val="Tijeloteksta"/>
        <w:spacing w:before="269" w:line="232" w:lineRule="auto"/>
        <w:ind w:left="141" w:right="138" w:firstLine="360"/>
        <w:jc w:val="both"/>
      </w:pPr>
      <w:r>
        <w:t>Sukladno navedenim zakonskim odredbama ovaj Upravni odjel pripremio je Nacrt</w:t>
      </w:r>
      <w:r>
        <w:rPr>
          <w:spacing w:val="40"/>
        </w:rPr>
        <w:t xml:space="preserve"> </w:t>
      </w:r>
      <w:r>
        <w:t>I</w:t>
      </w:r>
      <w:r w:rsidR="00510A1B">
        <w:t>I</w:t>
      </w:r>
      <w:r>
        <w:t xml:space="preserve"> izmjene i dopune Odluke o komunaln</w:t>
      </w:r>
      <w:r w:rsidR="00510A1B">
        <w:t xml:space="preserve">oj naknadi na području </w:t>
      </w:r>
      <w:r w:rsidR="00C10F7B">
        <w:t>G</w:t>
      </w:r>
      <w:r w:rsidR="00510A1B">
        <w:t xml:space="preserve">rada </w:t>
      </w:r>
      <w:r w:rsidR="00C10F7B">
        <w:t>D</w:t>
      </w:r>
      <w:r w:rsidR="00510A1B">
        <w:t>rniša</w:t>
      </w:r>
      <w:r>
        <w:t xml:space="preserve"> </w:t>
      </w:r>
      <w:r w:rsidR="00C10F7B">
        <w:t>.</w:t>
      </w:r>
    </w:p>
    <w:p w14:paraId="31BBD659" w14:textId="77777777" w:rsidR="005A3AF6" w:rsidRDefault="005A3AF6">
      <w:pPr>
        <w:pStyle w:val="Tijeloteksta"/>
      </w:pPr>
    </w:p>
    <w:p w14:paraId="0E1AECAD" w14:textId="77777777" w:rsidR="005A3AF6" w:rsidRDefault="005A3AF6">
      <w:pPr>
        <w:pStyle w:val="Tijeloteksta"/>
        <w:spacing w:before="231"/>
      </w:pPr>
    </w:p>
    <w:p w14:paraId="39F6623E" w14:textId="77777777" w:rsidR="005A3AF6" w:rsidRDefault="00AD0777">
      <w:pPr>
        <w:spacing w:line="259" w:lineRule="auto"/>
        <w:ind w:left="4222" w:hanging="420"/>
        <w:rPr>
          <w:b/>
          <w:sz w:val="24"/>
        </w:rPr>
      </w:pPr>
      <w:r>
        <w:rPr>
          <w:b/>
          <w:sz w:val="24"/>
        </w:rPr>
        <w:t>Upravni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odjel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prostorno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planiranje,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graditeljstvo komunalno gospodarstvo i zaštitu okoliša</w:t>
      </w:r>
    </w:p>
    <w:p w14:paraId="3C23C39C" w14:textId="77777777" w:rsidR="005A3AF6" w:rsidRDefault="005A3AF6">
      <w:pPr>
        <w:pStyle w:val="Tijeloteksta"/>
        <w:spacing w:before="13"/>
        <w:rPr>
          <w:b/>
        </w:rPr>
      </w:pPr>
    </w:p>
    <w:p w14:paraId="4313FE68" w14:textId="77777777" w:rsidR="005A3AF6" w:rsidRDefault="00AD0777">
      <w:pPr>
        <w:pStyle w:val="Naslov1"/>
        <w:spacing w:before="1"/>
        <w:jc w:val="center"/>
      </w:pPr>
      <w:r>
        <w:rPr>
          <w:spacing w:val="-2"/>
        </w:rPr>
        <w:t>PROČELNIK</w:t>
      </w:r>
    </w:p>
    <w:p w14:paraId="7113A13D" w14:textId="77777777" w:rsidR="005A3AF6" w:rsidRDefault="00AD0777">
      <w:pPr>
        <w:spacing w:before="276"/>
        <w:ind w:left="3220" w:right="10"/>
        <w:jc w:val="center"/>
        <w:rPr>
          <w:b/>
          <w:sz w:val="24"/>
        </w:rPr>
      </w:pPr>
      <w:r>
        <w:rPr>
          <w:b/>
          <w:sz w:val="24"/>
        </w:rPr>
        <w:t>Šime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Cigić,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dipl.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pacing w:val="-5"/>
          <w:sz w:val="24"/>
        </w:rPr>
        <w:t>ing</w:t>
      </w:r>
      <w:proofErr w:type="spellEnd"/>
    </w:p>
    <w:sectPr w:rsidR="005A3AF6">
      <w:pgSz w:w="11910" w:h="16840"/>
      <w:pgMar w:top="1920" w:right="1275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8370A"/>
    <w:multiLevelType w:val="hybridMultilevel"/>
    <w:tmpl w:val="323A66FE"/>
    <w:lvl w:ilvl="0" w:tplc="E320C182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D3815B1"/>
    <w:multiLevelType w:val="hybridMultilevel"/>
    <w:tmpl w:val="20723CEA"/>
    <w:lvl w:ilvl="0" w:tplc="5E2C394A">
      <w:start w:val="1"/>
      <w:numFmt w:val="lowerLetter"/>
      <w:lvlText w:val="%1)"/>
      <w:lvlJc w:val="left"/>
      <w:pPr>
        <w:ind w:left="140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21" w:hanging="360"/>
      </w:pPr>
    </w:lvl>
    <w:lvl w:ilvl="2" w:tplc="041A001B" w:tentative="1">
      <w:start w:val="1"/>
      <w:numFmt w:val="lowerRoman"/>
      <w:lvlText w:val="%3."/>
      <w:lvlJc w:val="right"/>
      <w:pPr>
        <w:ind w:left="2841" w:hanging="180"/>
      </w:pPr>
    </w:lvl>
    <w:lvl w:ilvl="3" w:tplc="041A000F" w:tentative="1">
      <w:start w:val="1"/>
      <w:numFmt w:val="decimal"/>
      <w:lvlText w:val="%4."/>
      <w:lvlJc w:val="left"/>
      <w:pPr>
        <w:ind w:left="3561" w:hanging="360"/>
      </w:pPr>
    </w:lvl>
    <w:lvl w:ilvl="4" w:tplc="041A0019" w:tentative="1">
      <w:start w:val="1"/>
      <w:numFmt w:val="lowerLetter"/>
      <w:lvlText w:val="%5."/>
      <w:lvlJc w:val="left"/>
      <w:pPr>
        <w:ind w:left="4281" w:hanging="360"/>
      </w:pPr>
    </w:lvl>
    <w:lvl w:ilvl="5" w:tplc="041A001B" w:tentative="1">
      <w:start w:val="1"/>
      <w:numFmt w:val="lowerRoman"/>
      <w:lvlText w:val="%6."/>
      <w:lvlJc w:val="right"/>
      <w:pPr>
        <w:ind w:left="5001" w:hanging="180"/>
      </w:pPr>
    </w:lvl>
    <w:lvl w:ilvl="6" w:tplc="041A000F" w:tentative="1">
      <w:start w:val="1"/>
      <w:numFmt w:val="decimal"/>
      <w:lvlText w:val="%7."/>
      <w:lvlJc w:val="left"/>
      <w:pPr>
        <w:ind w:left="5721" w:hanging="360"/>
      </w:pPr>
    </w:lvl>
    <w:lvl w:ilvl="7" w:tplc="041A0019" w:tentative="1">
      <w:start w:val="1"/>
      <w:numFmt w:val="lowerLetter"/>
      <w:lvlText w:val="%8."/>
      <w:lvlJc w:val="left"/>
      <w:pPr>
        <w:ind w:left="6441" w:hanging="360"/>
      </w:pPr>
    </w:lvl>
    <w:lvl w:ilvl="8" w:tplc="041A001B" w:tentative="1">
      <w:start w:val="1"/>
      <w:numFmt w:val="lowerRoman"/>
      <w:lvlText w:val="%9."/>
      <w:lvlJc w:val="right"/>
      <w:pPr>
        <w:ind w:left="7161" w:hanging="180"/>
      </w:pPr>
    </w:lvl>
  </w:abstractNum>
  <w:abstractNum w:abstractNumId="2" w15:restartNumberingAfterBreak="0">
    <w:nsid w:val="4D4101FE"/>
    <w:multiLevelType w:val="hybridMultilevel"/>
    <w:tmpl w:val="32FAFC74"/>
    <w:lvl w:ilvl="0" w:tplc="3DFEC228">
      <w:start w:val="1"/>
      <w:numFmt w:val="lowerLetter"/>
      <w:lvlText w:val="%1.)"/>
      <w:lvlJc w:val="left"/>
      <w:pPr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1AD1FE8"/>
    <w:multiLevelType w:val="hybridMultilevel"/>
    <w:tmpl w:val="C840CC8A"/>
    <w:lvl w:ilvl="0" w:tplc="F0DCD4D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42E3611"/>
    <w:multiLevelType w:val="hybridMultilevel"/>
    <w:tmpl w:val="3FC6052C"/>
    <w:lvl w:ilvl="0" w:tplc="4ED0EED6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7273ED1"/>
    <w:multiLevelType w:val="hybridMultilevel"/>
    <w:tmpl w:val="EF38BAFC"/>
    <w:lvl w:ilvl="0" w:tplc="A2064ABE">
      <w:start w:val="1"/>
      <w:numFmt w:val="lowerLetter"/>
      <w:lvlText w:val="%1.)"/>
      <w:lvlJc w:val="left"/>
      <w:pPr>
        <w:ind w:left="7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5C334E9D"/>
    <w:multiLevelType w:val="hybridMultilevel"/>
    <w:tmpl w:val="6DC0F5A2"/>
    <w:lvl w:ilvl="0" w:tplc="12CC74A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60" w:hanging="360"/>
      </w:pPr>
    </w:lvl>
    <w:lvl w:ilvl="2" w:tplc="041A001B" w:tentative="1">
      <w:start w:val="1"/>
      <w:numFmt w:val="lowerRoman"/>
      <w:lvlText w:val="%3."/>
      <w:lvlJc w:val="right"/>
      <w:pPr>
        <w:ind w:left="2280" w:hanging="180"/>
      </w:pPr>
    </w:lvl>
    <w:lvl w:ilvl="3" w:tplc="041A000F" w:tentative="1">
      <w:start w:val="1"/>
      <w:numFmt w:val="decimal"/>
      <w:lvlText w:val="%4."/>
      <w:lvlJc w:val="left"/>
      <w:pPr>
        <w:ind w:left="3000" w:hanging="360"/>
      </w:pPr>
    </w:lvl>
    <w:lvl w:ilvl="4" w:tplc="041A0019" w:tentative="1">
      <w:start w:val="1"/>
      <w:numFmt w:val="lowerLetter"/>
      <w:lvlText w:val="%5."/>
      <w:lvlJc w:val="left"/>
      <w:pPr>
        <w:ind w:left="3720" w:hanging="360"/>
      </w:pPr>
    </w:lvl>
    <w:lvl w:ilvl="5" w:tplc="041A001B" w:tentative="1">
      <w:start w:val="1"/>
      <w:numFmt w:val="lowerRoman"/>
      <w:lvlText w:val="%6."/>
      <w:lvlJc w:val="right"/>
      <w:pPr>
        <w:ind w:left="4440" w:hanging="180"/>
      </w:pPr>
    </w:lvl>
    <w:lvl w:ilvl="6" w:tplc="041A000F" w:tentative="1">
      <w:start w:val="1"/>
      <w:numFmt w:val="decimal"/>
      <w:lvlText w:val="%7."/>
      <w:lvlJc w:val="left"/>
      <w:pPr>
        <w:ind w:left="5160" w:hanging="360"/>
      </w:pPr>
    </w:lvl>
    <w:lvl w:ilvl="7" w:tplc="041A0019" w:tentative="1">
      <w:start w:val="1"/>
      <w:numFmt w:val="lowerLetter"/>
      <w:lvlText w:val="%8."/>
      <w:lvlJc w:val="left"/>
      <w:pPr>
        <w:ind w:left="5880" w:hanging="360"/>
      </w:pPr>
    </w:lvl>
    <w:lvl w:ilvl="8" w:tplc="0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7BA959A9"/>
    <w:multiLevelType w:val="hybridMultilevel"/>
    <w:tmpl w:val="50089D30"/>
    <w:lvl w:ilvl="0" w:tplc="5E8ED7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AF6"/>
    <w:rsid w:val="000A1B9C"/>
    <w:rsid w:val="000A5493"/>
    <w:rsid w:val="00123745"/>
    <w:rsid w:val="001611D6"/>
    <w:rsid w:val="0016772E"/>
    <w:rsid w:val="001A3ADD"/>
    <w:rsid w:val="001D6186"/>
    <w:rsid w:val="001E4263"/>
    <w:rsid w:val="001F5A95"/>
    <w:rsid w:val="00204F44"/>
    <w:rsid w:val="00253798"/>
    <w:rsid w:val="00254C0D"/>
    <w:rsid w:val="002B3421"/>
    <w:rsid w:val="003735A5"/>
    <w:rsid w:val="00396058"/>
    <w:rsid w:val="003B116F"/>
    <w:rsid w:val="003C41B9"/>
    <w:rsid w:val="003C6E61"/>
    <w:rsid w:val="003D0CDF"/>
    <w:rsid w:val="00412B37"/>
    <w:rsid w:val="00413C97"/>
    <w:rsid w:val="00421C7F"/>
    <w:rsid w:val="004A3535"/>
    <w:rsid w:val="00510A1B"/>
    <w:rsid w:val="00531512"/>
    <w:rsid w:val="0057228F"/>
    <w:rsid w:val="005A1DC2"/>
    <w:rsid w:val="005A3AF6"/>
    <w:rsid w:val="005B0C4C"/>
    <w:rsid w:val="005B3F07"/>
    <w:rsid w:val="00613551"/>
    <w:rsid w:val="006A401C"/>
    <w:rsid w:val="00784921"/>
    <w:rsid w:val="007D380F"/>
    <w:rsid w:val="007E793E"/>
    <w:rsid w:val="0080076C"/>
    <w:rsid w:val="00844492"/>
    <w:rsid w:val="00926D2F"/>
    <w:rsid w:val="00967702"/>
    <w:rsid w:val="009869AA"/>
    <w:rsid w:val="009C2A03"/>
    <w:rsid w:val="009E20FC"/>
    <w:rsid w:val="00A00D6F"/>
    <w:rsid w:val="00A071BB"/>
    <w:rsid w:val="00A07A47"/>
    <w:rsid w:val="00A12853"/>
    <w:rsid w:val="00A30549"/>
    <w:rsid w:val="00A51639"/>
    <w:rsid w:val="00AD048E"/>
    <w:rsid w:val="00AD0777"/>
    <w:rsid w:val="00B226C5"/>
    <w:rsid w:val="00B325FB"/>
    <w:rsid w:val="00B9436E"/>
    <w:rsid w:val="00C10F7B"/>
    <w:rsid w:val="00CB0BF0"/>
    <w:rsid w:val="00D64934"/>
    <w:rsid w:val="00DB62F4"/>
    <w:rsid w:val="00DE6933"/>
    <w:rsid w:val="00E726C4"/>
    <w:rsid w:val="00E92AA9"/>
    <w:rsid w:val="00E972B9"/>
    <w:rsid w:val="00EE46CE"/>
    <w:rsid w:val="00F227A4"/>
    <w:rsid w:val="00FC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68DEC"/>
  <w15:docId w15:val="{9608AD1F-BB4C-4475-951E-180DEFEBA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9"/>
    <w:qFormat/>
    <w:pPr>
      <w:ind w:left="3220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sz w:val="24"/>
      <w:szCs w:val="24"/>
    </w:r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REPUBLIKA HRVATSKA</vt:lpstr>
    </vt:vector>
  </TitlesOfParts>
  <Company/>
  <LinksUpToDate>false</LinksUpToDate>
  <CharactersWithSpaces>4433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Galileo Galilei</dc:creator>
  <cp:lastModifiedBy>Marija Lovrić</cp:lastModifiedBy>
  <cp:revision>5</cp:revision>
  <dcterms:created xsi:type="dcterms:W3CDTF">2025-11-17T06:57:00Z</dcterms:created>
  <dcterms:modified xsi:type="dcterms:W3CDTF">2025-11-17T08:38:00Z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2022-11-16T00:00:00Z</vt:filetime>
  </property>
  <property fmtid="{D5CDD505-2E9C-101B-9397-08002B2CF9AE}" pid="3" name="Creator">
    <vt:lpwstr>Microsoft® Word za Microsoft 365</vt:lpwstr>
  </property>
  <property fmtid="{D5CDD505-2E9C-101B-9397-08002B2CF9AE}" pid="4" name="LastSaved">
    <vt:filetime>2025-09-11T00:00:00Z</vt:filetime>
  </property>
  <property fmtid="{D5CDD505-2E9C-101B-9397-08002B2CF9AE}" pid="5" name="Producer">
    <vt:lpwstr>Microsoft® Word za Microsoft 365</vt:lpwstr>
  </property>
</Properties>
</file>